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E96" w:rsidRPr="00CF2ADA" w:rsidRDefault="00592E96" w:rsidP="00592E96">
      <w:pPr>
        <w:ind w:firstLine="709"/>
        <w:jc w:val="both"/>
        <w:rPr>
          <w:rFonts w:ascii="Times New Roman" w:hAnsi="Times New Roman" w:cs="Times New Roman"/>
          <w:b/>
          <w:sz w:val="28"/>
          <w:szCs w:val="28"/>
        </w:rPr>
      </w:pPr>
      <w:r w:rsidRPr="00CF2ADA">
        <w:rPr>
          <w:rFonts w:ascii="Times New Roman" w:hAnsi="Times New Roman" w:cs="Times New Roman"/>
          <w:b/>
          <w:sz w:val="28"/>
          <w:szCs w:val="28"/>
        </w:rPr>
        <w:t xml:space="preserve">Тема </w:t>
      </w:r>
      <w:r w:rsidR="00CF2ADA" w:rsidRPr="00CF2ADA">
        <w:rPr>
          <w:rFonts w:ascii="Times New Roman" w:hAnsi="Times New Roman" w:cs="Times New Roman"/>
          <w:b/>
          <w:sz w:val="28"/>
          <w:szCs w:val="28"/>
        </w:rPr>
        <w:t xml:space="preserve">4.2 </w:t>
      </w:r>
      <w:r w:rsidRPr="00CF2ADA">
        <w:rPr>
          <w:rFonts w:ascii="Times New Roman" w:hAnsi="Times New Roman" w:cs="Times New Roman"/>
          <w:b/>
          <w:sz w:val="28"/>
          <w:szCs w:val="28"/>
        </w:rPr>
        <w:t>Группировка почв, почвенно-типологические группы</w:t>
      </w:r>
    </w:p>
    <w:p w:rsidR="00592E96" w:rsidRPr="00CF2ADA" w:rsidRDefault="00592E96" w:rsidP="00592E96">
      <w:pPr>
        <w:spacing w:after="0" w:line="240" w:lineRule="auto"/>
        <w:jc w:val="both"/>
        <w:rPr>
          <w:rFonts w:ascii="Times New Roman" w:eastAsia="Times New Roman" w:hAnsi="Times New Roman" w:cs="Times New Roman"/>
          <w:sz w:val="28"/>
          <w:szCs w:val="28"/>
          <w:lang w:eastAsia="ru-RU"/>
        </w:rPr>
      </w:pPr>
      <w:r w:rsidRPr="00CF2ADA">
        <w:rPr>
          <w:rFonts w:ascii="Times New Roman" w:eastAsia="Times New Roman" w:hAnsi="Times New Roman" w:cs="Times New Roman"/>
          <w:sz w:val="28"/>
          <w:szCs w:val="28"/>
          <w:lang w:eastAsia="ru-RU"/>
        </w:rPr>
        <w:t>1 Почвенно-типологические группы и принцип их составления.</w:t>
      </w:r>
    </w:p>
    <w:p w:rsidR="00592E96" w:rsidRPr="00CF2ADA" w:rsidRDefault="00592E96" w:rsidP="00592E96">
      <w:pPr>
        <w:spacing w:after="0" w:line="240" w:lineRule="auto"/>
        <w:jc w:val="both"/>
        <w:rPr>
          <w:rFonts w:ascii="Times New Roman" w:eastAsia="Times New Roman" w:hAnsi="Times New Roman" w:cs="Times New Roman"/>
          <w:sz w:val="28"/>
          <w:szCs w:val="28"/>
          <w:lang w:eastAsia="ru-RU"/>
        </w:rPr>
      </w:pPr>
      <w:r w:rsidRPr="00CF2ADA">
        <w:rPr>
          <w:rFonts w:ascii="Times New Roman" w:eastAsia="Times New Roman" w:hAnsi="Times New Roman" w:cs="Times New Roman"/>
          <w:sz w:val="28"/>
          <w:szCs w:val="28"/>
          <w:lang w:eastAsia="ru-RU"/>
        </w:rPr>
        <w:t xml:space="preserve">2 Группировка лесных и сельскохозяйственных почв. </w:t>
      </w:r>
    </w:p>
    <w:p w:rsidR="00592E96" w:rsidRPr="00CF2ADA" w:rsidRDefault="00592E96" w:rsidP="00592E96">
      <w:pPr>
        <w:spacing w:after="0" w:line="240" w:lineRule="auto"/>
        <w:jc w:val="both"/>
        <w:rPr>
          <w:rFonts w:ascii="Times New Roman" w:eastAsia="Times New Roman" w:hAnsi="Times New Roman" w:cs="Times New Roman"/>
          <w:sz w:val="28"/>
          <w:szCs w:val="28"/>
          <w:lang w:eastAsia="ru-RU"/>
        </w:rPr>
      </w:pPr>
      <w:r w:rsidRPr="00CF2ADA">
        <w:rPr>
          <w:rFonts w:ascii="Times New Roman" w:eastAsia="Times New Roman" w:hAnsi="Times New Roman" w:cs="Times New Roman"/>
          <w:sz w:val="28"/>
          <w:szCs w:val="28"/>
          <w:lang w:eastAsia="ru-RU"/>
        </w:rPr>
        <w:t>3 Выделение почвенно-типологических групп на картографическом материале.</w:t>
      </w:r>
    </w:p>
    <w:p w:rsidR="00592E96" w:rsidRPr="00CF2ADA" w:rsidRDefault="00592E96" w:rsidP="00592E96">
      <w:pPr>
        <w:spacing w:after="0" w:line="240" w:lineRule="auto"/>
        <w:rPr>
          <w:rFonts w:ascii="Times New Roman" w:eastAsia="Times New Roman" w:hAnsi="Times New Roman" w:cs="Times New Roman"/>
          <w:sz w:val="28"/>
          <w:szCs w:val="28"/>
          <w:lang w:eastAsia="ru-RU"/>
        </w:rPr>
      </w:pPr>
      <w:r w:rsidRPr="00CF2ADA">
        <w:rPr>
          <w:rFonts w:ascii="Times New Roman" w:eastAsia="Times New Roman" w:hAnsi="Times New Roman" w:cs="Times New Roman"/>
          <w:sz w:val="28"/>
          <w:szCs w:val="28"/>
          <w:lang w:eastAsia="ru-RU"/>
        </w:rPr>
        <w:t xml:space="preserve">4 Почвенно-типологические группы в практике лесного хозяйства.  </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Цель почвенно-типологических обследований – устройство лесов на почвенно-типологической основе, позволяющее лесному хозяйству наиболее эффективно использовать особенности типов леса, типов условий местопроизрастания и плодородие лесных почв для повышения продуктивности лесов и улучшения их функциональных свойств. В процессе этих работ проводится инвентаризация, классифицирование и картографирование лесных почв, определение их фактического и потенциального плодородия, конкретизируются эдафические параметры типов леса и типов условий местопроизрастания, вскрываются взаимосвязи между плодородием почвы и продуктивностью насаждений, выявляются причины и направленность экологических изменений под влиянием хозяйственной деятельности.</w:t>
      </w:r>
    </w:p>
    <w:p w:rsidR="00592E96" w:rsidRPr="00CF2ADA" w:rsidRDefault="00592E96" w:rsidP="00592E96">
      <w:pPr>
        <w:pStyle w:val="a3"/>
        <w:spacing w:line="240" w:lineRule="atLeast"/>
        <w:ind w:firstLine="567"/>
        <w:contextualSpacing/>
        <w:jc w:val="both"/>
        <w:rPr>
          <w:b/>
          <w:sz w:val="28"/>
          <w:szCs w:val="28"/>
        </w:rPr>
      </w:pPr>
      <w:r w:rsidRPr="00CF2ADA">
        <w:rPr>
          <w:b/>
          <w:sz w:val="28"/>
          <w:szCs w:val="28"/>
        </w:rPr>
        <w:t>Классификационные признаки почв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При классификации почв используется принятая в Белоруссии схема, учитывающая морфологическое строение почвенного профиля, основные процессы почвообразования, состав и</w:t>
      </w:r>
      <w:bookmarkStart w:id="0" w:name="_GoBack"/>
      <w:bookmarkEnd w:id="0"/>
      <w:r w:rsidRPr="00CF2ADA">
        <w:rPr>
          <w:sz w:val="28"/>
          <w:szCs w:val="28"/>
        </w:rPr>
        <w:t xml:space="preserve"> свойства почвы. Эта схема положена в основу работ по крупномасштабным почвенным исследованиям земель колхозов и совхозов. В целях сопоставимости и унификации материалов она используется и при почвенно-</w:t>
      </w:r>
      <w:proofErr w:type="spellStart"/>
      <w:r w:rsidRPr="00CF2ADA">
        <w:rPr>
          <w:sz w:val="28"/>
          <w:szCs w:val="28"/>
        </w:rPr>
        <w:t>лесотипологических</w:t>
      </w:r>
      <w:proofErr w:type="spellEnd"/>
      <w:r w:rsidRPr="00CF2ADA">
        <w:rPr>
          <w:sz w:val="28"/>
          <w:szCs w:val="28"/>
        </w:rPr>
        <w:t xml:space="preserve"> исследованиях.</w:t>
      </w:r>
    </w:p>
    <w:p w:rsidR="00592E96" w:rsidRPr="00CF2ADA" w:rsidRDefault="00592E96" w:rsidP="00592E96">
      <w:pPr>
        <w:pStyle w:val="a3"/>
        <w:spacing w:line="240" w:lineRule="atLeast"/>
        <w:ind w:firstLine="567"/>
        <w:contextualSpacing/>
        <w:jc w:val="both"/>
        <w:rPr>
          <w:sz w:val="28"/>
          <w:szCs w:val="28"/>
        </w:rPr>
      </w:pPr>
      <w:proofErr w:type="gramStart"/>
      <w:r w:rsidRPr="00CF2ADA">
        <w:rPr>
          <w:sz w:val="28"/>
          <w:szCs w:val="28"/>
        </w:rPr>
        <w:t>В соответствии с этой схемой на территории республики в процессе крупномасштабных почвенных исследований выделены следующие типы почв: дерново-карбонатные, бурые лесные, дерново-подзолистые, дерново-подзолистые заболоченные, дерново-болотные, торфяно-болотные (низинные, переходные, верховые), пойменные (аллювиальные).</w:t>
      </w:r>
      <w:proofErr w:type="gramEnd"/>
      <w:r w:rsidRPr="00CF2ADA">
        <w:rPr>
          <w:sz w:val="28"/>
          <w:szCs w:val="28"/>
        </w:rPr>
        <w:t xml:space="preserve"> На уровне подтипа под лесами в Беларуси выделяются дерново-подзолистые, а также дерново-</w:t>
      </w:r>
      <w:proofErr w:type="spellStart"/>
      <w:r w:rsidRPr="00CF2ADA">
        <w:rPr>
          <w:sz w:val="28"/>
          <w:szCs w:val="28"/>
        </w:rPr>
        <w:t>перегиойно</w:t>
      </w:r>
      <w:proofErr w:type="spellEnd"/>
      <w:r w:rsidRPr="00CF2ADA">
        <w:rPr>
          <w:sz w:val="28"/>
          <w:szCs w:val="28"/>
        </w:rPr>
        <w:t>-глеевые почвы.</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 Почвенно-</w:t>
      </w:r>
      <w:proofErr w:type="spellStart"/>
      <w:r w:rsidRPr="00CF2ADA">
        <w:rPr>
          <w:sz w:val="28"/>
          <w:szCs w:val="28"/>
        </w:rPr>
        <w:t>лесотипологические</w:t>
      </w:r>
      <w:proofErr w:type="spellEnd"/>
      <w:r w:rsidRPr="00CF2ADA">
        <w:rPr>
          <w:sz w:val="28"/>
          <w:szCs w:val="28"/>
        </w:rPr>
        <w:t xml:space="preserve"> исследования </w:t>
      </w:r>
      <w:proofErr w:type="spellStart"/>
      <w:r w:rsidRPr="00CF2ADA">
        <w:rPr>
          <w:sz w:val="28"/>
          <w:szCs w:val="28"/>
        </w:rPr>
        <w:t>гослесфонда</w:t>
      </w:r>
      <w:proofErr w:type="spellEnd"/>
      <w:r w:rsidRPr="00CF2ADA">
        <w:rPr>
          <w:sz w:val="28"/>
          <w:szCs w:val="28"/>
        </w:rPr>
        <w:t xml:space="preserve"> проводятся с 1968 г. Белорусским лесоустроительным предприятием, институтом «</w:t>
      </w:r>
      <w:proofErr w:type="spellStart"/>
      <w:r w:rsidRPr="00CF2ADA">
        <w:rPr>
          <w:sz w:val="28"/>
          <w:szCs w:val="28"/>
        </w:rPr>
        <w:t>Белгипрозем</w:t>
      </w:r>
      <w:proofErr w:type="spellEnd"/>
      <w:r w:rsidRPr="00CF2ADA">
        <w:rPr>
          <w:sz w:val="28"/>
          <w:szCs w:val="28"/>
        </w:rPr>
        <w:t xml:space="preserve">», Белорусским технологическим институтом им. С. М. Кирова. Методическое руководство осуществляют </w:t>
      </w:r>
      <w:proofErr w:type="spellStart"/>
      <w:r w:rsidRPr="00CF2ADA">
        <w:rPr>
          <w:sz w:val="28"/>
          <w:szCs w:val="28"/>
        </w:rPr>
        <w:t>БелНИИ</w:t>
      </w:r>
      <w:proofErr w:type="spellEnd"/>
      <w:r w:rsidRPr="00CF2ADA">
        <w:rPr>
          <w:sz w:val="28"/>
          <w:szCs w:val="28"/>
        </w:rPr>
        <w:t xml:space="preserve"> почвоведения и </w:t>
      </w:r>
      <w:proofErr w:type="spellStart"/>
      <w:r w:rsidRPr="00CF2ADA">
        <w:rPr>
          <w:sz w:val="28"/>
          <w:szCs w:val="28"/>
        </w:rPr>
        <w:t>агрохимиии</w:t>
      </w:r>
      <w:proofErr w:type="spellEnd"/>
      <w:r w:rsidRPr="00CF2ADA">
        <w:rPr>
          <w:sz w:val="28"/>
          <w:szCs w:val="28"/>
        </w:rPr>
        <w:t xml:space="preserve"> МСХ Беларуси и Институт экспериментальной ботаники им. В. Ф. </w:t>
      </w:r>
      <w:proofErr w:type="spellStart"/>
      <w:r w:rsidRPr="00CF2ADA">
        <w:rPr>
          <w:sz w:val="28"/>
          <w:szCs w:val="28"/>
        </w:rPr>
        <w:t>Купревича</w:t>
      </w:r>
      <w:proofErr w:type="spellEnd"/>
      <w:r w:rsidRPr="00CF2ADA">
        <w:rPr>
          <w:sz w:val="28"/>
          <w:szCs w:val="28"/>
        </w:rPr>
        <w:t xml:space="preserve"> АН Беларуси.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Работы велись в соответствии с «Методическими указаниями по почвенно-</w:t>
      </w:r>
      <w:proofErr w:type="spellStart"/>
      <w:r w:rsidRPr="00CF2ADA">
        <w:rPr>
          <w:sz w:val="28"/>
          <w:szCs w:val="28"/>
        </w:rPr>
        <w:t>лесотипологическому</w:t>
      </w:r>
      <w:proofErr w:type="spellEnd"/>
      <w:r w:rsidRPr="00CF2ADA">
        <w:rPr>
          <w:sz w:val="28"/>
          <w:szCs w:val="28"/>
        </w:rPr>
        <w:t xml:space="preserve"> исследованию государственного лесного фонда БССР» (1971), «Рабочими правилами по обследованию почв </w:t>
      </w:r>
      <w:proofErr w:type="spellStart"/>
      <w:r w:rsidRPr="00CF2ADA">
        <w:rPr>
          <w:sz w:val="28"/>
          <w:szCs w:val="28"/>
        </w:rPr>
        <w:t>гослесфонда</w:t>
      </w:r>
      <w:proofErr w:type="spellEnd"/>
      <w:r w:rsidRPr="00CF2ADA">
        <w:rPr>
          <w:sz w:val="28"/>
          <w:szCs w:val="28"/>
        </w:rPr>
        <w:t xml:space="preserve"> БССР» (1976), составленными Белорусским лесоустроительным предприятием совместно с научно-исследовательскими учреждениями, и </w:t>
      </w:r>
      <w:r w:rsidRPr="00CF2ADA">
        <w:rPr>
          <w:sz w:val="28"/>
          <w:szCs w:val="28"/>
        </w:rPr>
        <w:lastRenderedPageBreak/>
        <w:t xml:space="preserve">«Методическими </w:t>
      </w:r>
      <w:proofErr w:type="gramStart"/>
      <w:r w:rsidRPr="00CF2ADA">
        <w:rPr>
          <w:sz w:val="28"/>
          <w:szCs w:val="28"/>
        </w:rPr>
        <w:t>указаниями</w:t>
      </w:r>
      <w:proofErr w:type="gramEnd"/>
      <w:r w:rsidRPr="00CF2ADA">
        <w:rPr>
          <w:sz w:val="28"/>
          <w:szCs w:val="28"/>
        </w:rPr>
        <w:t xml:space="preserve"> но почвенно-геоботаническим и агрохимическим крупномасштабным исследованиям в БССР» (1973), составленными </w:t>
      </w:r>
      <w:proofErr w:type="spellStart"/>
      <w:r w:rsidRPr="00CF2ADA">
        <w:rPr>
          <w:sz w:val="28"/>
          <w:szCs w:val="28"/>
        </w:rPr>
        <w:t>БелНИИ</w:t>
      </w:r>
      <w:proofErr w:type="spellEnd"/>
      <w:r w:rsidRPr="00CF2ADA">
        <w:rPr>
          <w:sz w:val="28"/>
          <w:szCs w:val="28"/>
        </w:rPr>
        <w:t xml:space="preserve"> почвоведения и агрохимии.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Лесоустройство и почвенно-</w:t>
      </w:r>
      <w:proofErr w:type="spellStart"/>
      <w:r w:rsidRPr="00CF2ADA">
        <w:rPr>
          <w:sz w:val="28"/>
          <w:szCs w:val="28"/>
        </w:rPr>
        <w:t>лесотипологические</w:t>
      </w:r>
      <w:proofErr w:type="spellEnd"/>
      <w:r w:rsidRPr="00CF2ADA">
        <w:rPr>
          <w:sz w:val="28"/>
          <w:szCs w:val="28"/>
        </w:rPr>
        <w:t xml:space="preserve"> обследования лесхозов Беларуси проводились, как правило, одновременно в один полевой и камеральный сезон. Допускается выполнение почвенно-</w:t>
      </w:r>
      <w:proofErr w:type="spellStart"/>
      <w:r w:rsidRPr="00CF2ADA">
        <w:rPr>
          <w:sz w:val="28"/>
          <w:szCs w:val="28"/>
        </w:rPr>
        <w:t>лесотипологических</w:t>
      </w:r>
      <w:proofErr w:type="spellEnd"/>
      <w:r w:rsidRPr="00CF2ADA">
        <w:rPr>
          <w:sz w:val="28"/>
          <w:szCs w:val="28"/>
        </w:rPr>
        <w:t xml:space="preserve"> обследований в последующие за лесоустройством годы; при этом используются материалы прежнего лесоустройства. Началу полевых работ предшествует первое совещание по почвенно-</w:t>
      </w:r>
      <w:proofErr w:type="spellStart"/>
      <w:r w:rsidRPr="00CF2ADA">
        <w:rPr>
          <w:sz w:val="28"/>
          <w:szCs w:val="28"/>
        </w:rPr>
        <w:t>лесотипологическим</w:t>
      </w:r>
      <w:proofErr w:type="spellEnd"/>
      <w:r w:rsidRPr="00CF2ADA">
        <w:rPr>
          <w:sz w:val="28"/>
          <w:szCs w:val="28"/>
        </w:rPr>
        <w:t xml:space="preserve"> исследованиям, которое в случае одновременного лесоустройства совмещается с первым лесоустроительным совещанием. На нем уточняется задание на почвенно-типологическое обследование, определяются его особенности, порядок организации и контроля работ, согласовывается перечень представляемых материалов. В период полевых работ работники лесного хозяйства контролируют и принимают работу почвоведов и </w:t>
      </w:r>
      <w:proofErr w:type="spellStart"/>
      <w:r w:rsidRPr="00CF2ADA">
        <w:rPr>
          <w:sz w:val="28"/>
          <w:szCs w:val="28"/>
        </w:rPr>
        <w:t>лесотипологов</w:t>
      </w:r>
      <w:proofErr w:type="spellEnd"/>
      <w:r w:rsidRPr="00CF2ADA">
        <w:rPr>
          <w:sz w:val="28"/>
          <w:szCs w:val="28"/>
        </w:rPr>
        <w:t xml:space="preserve">-таксаторов, участвуют в разработке мероприятий по рациональному использованию лесных земель. </w:t>
      </w:r>
      <w:proofErr w:type="gramStart"/>
      <w:r w:rsidRPr="00CF2ADA">
        <w:rPr>
          <w:sz w:val="28"/>
          <w:szCs w:val="28"/>
        </w:rPr>
        <w:t>Итоги почвенно-</w:t>
      </w:r>
      <w:proofErr w:type="spellStart"/>
      <w:r w:rsidRPr="00CF2ADA">
        <w:rPr>
          <w:sz w:val="28"/>
          <w:szCs w:val="28"/>
        </w:rPr>
        <w:t>типологическйх</w:t>
      </w:r>
      <w:proofErr w:type="spellEnd"/>
      <w:r w:rsidRPr="00CF2ADA">
        <w:rPr>
          <w:sz w:val="28"/>
          <w:szCs w:val="28"/>
        </w:rPr>
        <w:t xml:space="preserve"> исследований в форме конкретных рекомендаций лесоустроительных проектов на ближайшие 10 лет и более отдаленную перспективу обсуждаются и утверждаются вторым лесоустроительным совещанием.</w:t>
      </w:r>
      <w:proofErr w:type="gramEnd"/>
    </w:p>
    <w:p w:rsidR="00592E96" w:rsidRPr="00CF2ADA" w:rsidRDefault="00592E96" w:rsidP="00592E96">
      <w:pPr>
        <w:pStyle w:val="a3"/>
        <w:spacing w:line="240" w:lineRule="atLeast"/>
        <w:ind w:firstLine="567"/>
        <w:contextualSpacing/>
        <w:jc w:val="both"/>
        <w:rPr>
          <w:sz w:val="28"/>
          <w:szCs w:val="28"/>
        </w:rPr>
      </w:pPr>
      <w:r w:rsidRPr="00CF2ADA">
        <w:rPr>
          <w:sz w:val="28"/>
          <w:szCs w:val="28"/>
        </w:rPr>
        <w:t>В результате работ лесхоз и лесничества получают по одному экземпляру следующие материалы:</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1) </w:t>
      </w:r>
      <w:proofErr w:type="spellStart"/>
      <w:r w:rsidRPr="00CF2ADA">
        <w:rPr>
          <w:sz w:val="28"/>
          <w:szCs w:val="28"/>
        </w:rPr>
        <w:t>почвеннолесотипологические</w:t>
      </w:r>
      <w:proofErr w:type="spellEnd"/>
      <w:r w:rsidRPr="00CF2ADA">
        <w:rPr>
          <w:sz w:val="28"/>
          <w:szCs w:val="28"/>
        </w:rPr>
        <w:t xml:space="preserve"> очерки лесничеств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2) почвенные планшеты М 1</w:t>
      </w:r>
      <w:proofErr w:type="gramStart"/>
      <w:r w:rsidRPr="00CF2ADA">
        <w:rPr>
          <w:sz w:val="28"/>
          <w:szCs w:val="28"/>
        </w:rPr>
        <w:t xml:space="preserve"> :</w:t>
      </w:r>
      <w:proofErr w:type="gramEnd"/>
      <w:r w:rsidRPr="00CF2ADA">
        <w:rPr>
          <w:sz w:val="28"/>
          <w:szCs w:val="28"/>
        </w:rPr>
        <w:t xml:space="preserve"> 10000 — без окраски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3) почвенные планы М 1:25000 — окрашенные</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4) картограмму кислотности почв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5) картосхему рационального размещения древесных пород.</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Материалы почвенно-</w:t>
      </w:r>
      <w:proofErr w:type="spellStart"/>
      <w:r w:rsidRPr="00CF2ADA">
        <w:rPr>
          <w:sz w:val="28"/>
          <w:szCs w:val="28"/>
        </w:rPr>
        <w:t>лесотипологического</w:t>
      </w:r>
      <w:proofErr w:type="spellEnd"/>
      <w:r w:rsidRPr="00CF2ADA">
        <w:rPr>
          <w:sz w:val="28"/>
          <w:szCs w:val="28"/>
        </w:rPr>
        <w:t xml:space="preserve"> обследования являются документами постоянного хранения и используются при лесоустроительном проектировании лесохозяйственных и </w:t>
      </w:r>
      <w:proofErr w:type="spellStart"/>
      <w:r w:rsidRPr="00CF2ADA">
        <w:rPr>
          <w:sz w:val="28"/>
          <w:szCs w:val="28"/>
        </w:rPr>
        <w:t>лесокультурных</w:t>
      </w:r>
      <w:proofErr w:type="spellEnd"/>
      <w:r w:rsidRPr="00CF2ADA">
        <w:rPr>
          <w:sz w:val="28"/>
          <w:szCs w:val="28"/>
        </w:rPr>
        <w:t xml:space="preserve"> работ в течение ряда ревизионных периодов. Инженер-почвовед проводит работы после таксатора, учитывая типологическую и таксационную характеристику каждого участка. Границы таксационных выделов служат </w:t>
      </w:r>
      <w:proofErr w:type="spellStart"/>
      <w:r w:rsidRPr="00CF2ADA">
        <w:rPr>
          <w:sz w:val="28"/>
          <w:szCs w:val="28"/>
        </w:rPr>
        <w:t>придержками</w:t>
      </w:r>
      <w:proofErr w:type="spellEnd"/>
      <w:r w:rsidRPr="00CF2ADA">
        <w:rPr>
          <w:sz w:val="28"/>
          <w:szCs w:val="28"/>
        </w:rPr>
        <w:t xml:space="preserve"> для установления границ введенных разновидностей и в случае необходимости совместно корректируются таксатором и почвоведом. </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 одном почвенном контуре объединяется несколько таксационных выделов, различающихся по таксационным элементам древостоя, но относящихся к одному или нескольким типам леса одного типа условии произрастания в случае смены пород на одной и той же почвенной разновидности. Один тип леса может охватывать несколько почвенных разновидностей, имеющих одинаковый лесорастительный эффект. При необходимости осуществляется корректировка типа леса по почве совместно таксатором и почвоведом. </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lastRenderedPageBreak/>
        <w:t xml:space="preserve">Масштаб полевой почвенной съемки 1: 10000. Установлены нормативы почвенных выработок на 100 га </w:t>
      </w:r>
      <w:proofErr w:type="spellStart"/>
      <w:r w:rsidRPr="00CF2ADA">
        <w:rPr>
          <w:sz w:val="28"/>
          <w:szCs w:val="28"/>
        </w:rPr>
        <w:t>картируемой</w:t>
      </w:r>
      <w:proofErr w:type="spellEnd"/>
      <w:r w:rsidRPr="00CF2ADA">
        <w:rPr>
          <w:sz w:val="28"/>
          <w:szCs w:val="28"/>
        </w:rPr>
        <w:t xml:space="preserve"> площади: 2 разреза полного профиля, 4 </w:t>
      </w:r>
      <w:proofErr w:type="spellStart"/>
      <w:r w:rsidRPr="00CF2ADA">
        <w:rPr>
          <w:sz w:val="28"/>
          <w:szCs w:val="28"/>
        </w:rPr>
        <w:t>полуямы</w:t>
      </w:r>
      <w:proofErr w:type="spellEnd"/>
      <w:r w:rsidRPr="00CF2ADA">
        <w:rPr>
          <w:sz w:val="28"/>
          <w:szCs w:val="28"/>
        </w:rPr>
        <w:t xml:space="preserve">, 12 </w:t>
      </w:r>
      <w:proofErr w:type="spellStart"/>
      <w:r w:rsidRPr="00CF2ADA">
        <w:rPr>
          <w:sz w:val="28"/>
          <w:szCs w:val="28"/>
        </w:rPr>
        <w:t>прикопок</w:t>
      </w:r>
      <w:proofErr w:type="spellEnd"/>
      <w:r w:rsidRPr="00CF2ADA">
        <w:rPr>
          <w:sz w:val="28"/>
          <w:szCs w:val="28"/>
        </w:rPr>
        <w:t xml:space="preserve">. Разрезы и </w:t>
      </w:r>
      <w:proofErr w:type="spellStart"/>
      <w:r w:rsidRPr="00CF2ADA">
        <w:rPr>
          <w:sz w:val="28"/>
          <w:szCs w:val="28"/>
        </w:rPr>
        <w:t>полуямы</w:t>
      </w:r>
      <w:proofErr w:type="spellEnd"/>
      <w:r w:rsidRPr="00CF2ADA">
        <w:rPr>
          <w:sz w:val="28"/>
          <w:szCs w:val="28"/>
        </w:rPr>
        <w:t xml:space="preserve"> могут быть заменены зондируемыми почвенным буром </w:t>
      </w:r>
      <w:proofErr w:type="spellStart"/>
      <w:r w:rsidRPr="00CF2ADA">
        <w:rPr>
          <w:sz w:val="28"/>
          <w:szCs w:val="28"/>
        </w:rPr>
        <w:t>прикопками</w:t>
      </w:r>
      <w:proofErr w:type="spellEnd"/>
      <w:r w:rsidRPr="00CF2ADA">
        <w:rPr>
          <w:sz w:val="28"/>
          <w:szCs w:val="28"/>
        </w:rPr>
        <w:t xml:space="preserve">. Образцы для агрохимических анализов отбираются из разрезов полного профиля по норме 6 разрезов на 1000 га </w:t>
      </w:r>
      <w:proofErr w:type="spellStart"/>
      <w:r w:rsidRPr="00CF2ADA">
        <w:rPr>
          <w:sz w:val="28"/>
          <w:szCs w:val="28"/>
        </w:rPr>
        <w:t>картируемой</w:t>
      </w:r>
      <w:proofErr w:type="spellEnd"/>
      <w:r w:rsidRPr="00CF2ADA">
        <w:rPr>
          <w:sz w:val="28"/>
          <w:szCs w:val="28"/>
        </w:rPr>
        <w:t xml:space="preserve"> площади. Кроме того, в каждом почвенном контуре из гумусового горизонта отбирается смешанный почвенный образец для определения кислотности.</w:t>
      </w:r>
    </w:p>
    <w:p w:rsidR="00592E96" w:rsidRPr="00CF2ADA" w:rsidRDefault="00592E96" w:rsidP="00592E96">
      <w:pPr>
        <w:pStyle w:val="a3"/>
        <w:spacing w:line="240" w:lineRule="atLeast"/>
        <w:ind w:firstLine="567"/>
        <w:contextualSpacing/>
        <w:jc w:val="both"/>
        <w:rPr>
          <w:sz w:val="28"/>
          <w:szCs w:val="28"/>
        </w:rPr>
      </w:pPr>
      <w:proofErr w:type="gramStart"/>
      <w:r w:rsidRPr="00CF2ADA">
        <w:rPr>
          <w:sz w:val="28"/>
          <w:szCs w:val="28"/>
        </w:rPr>
        <w:t>В полевых условиях почвовед составляет предварительный список почв, полевую почвенную карту, уточняет с таксатором (</w:t>
      </w:r>
      <w:proofErr w:type="spellStart"/>
      <w:r w:rsidRPr="00CF2ADA">
        <w:rPr>
          <w:sz w:val="28"/>
          <w:szCs w:val="28"/>
        </w:rPr>
        <w:t>типологом</w:t>
      </w:r>
      <w:proofErr w:type="spellEnd"/>
      <w:r w:rsidRPr="00CF2ADA">
        <w:rPr>
          <w:sz w:val="28"/>
          <w:szCs w:val="28"/>
        </w:rPr>
        <w:t>) соответствие почв и типов леса, составляет ведомости отбора профильных и смешанных образцов, определяет необходимые виды анализов почвы, в местах закладки разрезов по установленной форме характеризует таксационные и лесоводственно-геоботанические показатели всех ярусов растительности, дает характеристику орографических условий и почв.</w:t>
      </w:r>
      <w:proofErr w:type="gramEnd"/>
    </w:p>
    <w:p w:rsidR="00592E96" w:rsidRPr="00CF2ADA" w:rsidRDefault="00592E96" w:rsidP="00592E96">
      <w:pPr>
        <w:pStyle w:val="a3"/>
        <w:spacing w:line="240" w:lineRule="atLeast"/>
        <w:ind w:firstLine="567"/>
        <w:contextualSpacing/>
        <w:jc w:val="both"/>
        <w:rPr>
          <w:sz w:val="28"/>
          <w:szCs w:val="28"/>
        </w:rPr>
      </w:pPr>
      <w:r w:rsidRPr="00CF2ADA">
        <w:rPr>
          <w:b/>
          <w:sz w:val="28"/>
          <w:szCs w:val="28"/>
        </w:rPr>
        <w:t>Почвенно-типологические группы (ПТГ)</w:t>
      </w:r>
      <w:r w:rsidRPr="00CF2ADA">
        <w:rPr>
          <w:sz w:val="28"/>
          <w:szCs w:val="28"/>
        </w:rPr>
        <w:t xml:space="preserve"> объединяют почвенные разновидности с однородным или близким лесорастительным эффектом, определяемым климатическими условиями, геологическим происхождением почвообразующих пород, орографическими и гидрологическими условиями, фактическим и потенциальным плодородием почв, и соответствующие им типы леса и лесные ассоциации.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Почвенно-типологическая группа является экологической единицей условий местопроизрастания и одновременно хозяйственной единицей с однородным целевым направлением комплекса хозяйственных мероприятий. Необходимость выделения ПТГ обусловлена большим количеством почвенных разновидностей, отражающих разнообразие структуры почвенного покрова.</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Типизация почвенных разновидностей и систематизация ПТГ проводятся по следующим основным признакам:</w:t>
      </w:r>
    </w:p>
    <w:p w:rsidR="00592E96" w:rsidRPr="00CF2ADA" w:rsidRDefault="00592E96" w:rsidP="00592E96">
      <w:pPr>
        <w:pStyle w:val="a3"/>
        <w:spacing w:line="240" w:lineRule="atLeast"/>
        <w:ind w:firstLine="567"/>
        <w:contextualSpacing/>
        <w:jc w:val="both"/>
        <w:rPr>
          <w:sz w:val="28"/>
          <w:szCs w:val="28"/>
        </w:rPr>
      </w:pPr>
      <w:r w:rsidRPr="00CF2ADA">
        <w:rPr>
          <w:i/>
          <w:sz w:val="28"/>
          <w:szCs w:val="28"/>
        </w:rPr>
        <w:t>I. Сохранность естественных лесорастительных условий (ЛРУ).</w:t>
      </w:r>
      <w:r w:rsidRPr="00CF2ADA">
        <w:rPr>
          <w:sz w:val="28"/>
          <w:szCs w:val="28"/>
        </w:rPr>
        <w:t xml:space="preserve"> 1. Естественные (ненарушенные) ЛРУ. 2. Нарушенные (антропогенные) ЛРУ (осушенные и выработанные торфяники и карьеры, овраги и др.).</w:t>
      </w:r>
    </w:p>
    <w:p w:rsidR="00592E96" w:rsidRPr="00CF2ADA" w:rsidRDefault="00592E96" w:rsidP="00592E96">
      <w:pPr>
        <w:pStyle w:val="a3"/>
        <w:spacing w:line="240" w:lineRule="atLeast"/>
        <w:ind w:firstLine="567"/>
        <w:contextualSpacing/>
        <w:jc w:val="both"/>
        <w:rPr>
          <w:sz w:val="28"/>
          <w:szCs w:val="28"/>
        </w:rPr>
      </w:pPr>
      <w:r w:rsidRPr="00CF2ADA">
        <w:rPr>
          <w:i/>
          <w:sz w:val="28"/>
          <w:szCs w:val="28"/>
        </w:rPr>
        <w:t xml:space="preserve">II. Ландшафтные зоны. Почвенно-геоморфологические </w:t>
      </w:r>
      <w:proofErr w:type="spellStart"/>
      <w:r w:rsidRPr="00CF2ADA">
        <w:rPr>
          <w:i/>
          <w:sz w:val="28"/>
          <w:szCs w:val="28"/>
        </w:rPr>
        <w:t>голоценовые</w:t>
      </w:r>
      <w:proofErr w:type="spellEnd"/>
      <w:r w:rsidRPr="00CF2ADA">
        <w:rPr>
          <w:i/>
          <w:sz w:val="28"/>
          <w:szCs w:val="28"/>
        </w:rPr>
        <w:t xml:space="preserve"> образования.</w:t>
      </w:r>
      <w:r w:rsidRPr="00CF2ADA">
        <w:rPr>
          <w:sz w:val="28"/>
          <w:szCs w:val="28"/>
        </w:rPr>
        <w:t xml:space="preserve"> 1. Эоловые. 2. Краевые </w:t>
      </w:r>
      <w:proofErr w:type="spellStart"/>
      <w:r w:rsidRPr="00CF2ADA">
        <w:rPr>
          <w:sz w:val="28"/>
          <w:szCs w:val="28"/>
        </w:rPr>
        <w:t>конечноморенные</w:t>
      </w:r>
      <w:proofErr w:type="spellEnd"/>
      <w:r w:rsidRPr="00CF2ADA">
        <w:rPr>
          <w:sz w:val="28"/>
          <w:szCs w:val="28"/>
        </w:rPr>
        <w:t xml:space="preserve">. 3. </w:t>
      </w:r>
      <w:proofErr w:type="spellStart"/>
      <w:r w:rsidRPr="00CF2ADA">
        <w:rPr>
          <w:sz w:val="28"/>
          <w:szCs w:val="28"/>
        </w:rPr>
        <w:t>Донноморенные</w:t>
      </w:r>
      <w:proofErr w:type="spellEnd"/>
      <w:r w:rsidRPr="00CF2ADA">
        <w:rPr>
          <w:sz w:val="28"/>
          <w:szCs w:val="28"/>
        </w:rPr>
        <w:t xml:space="preserve">. 4.Водно-ледниковые и древнеаллювиальные. 5. Лёссовидные. 6. </w:t>
      </w:r>
      <w:proofErr w:type="spellStart"/>
      <w:r w:rsidRPr="00CF2ADA">
        <w:rPr>
          <w:sz w:val="28"/>
          <w:szCs w:val="28"/>
        </w:rPr>
        <w:t>Заторфованные</w:t>
      </w:r>
      <w:proofErr w:type="spellEnd"/>
      <w:r w:rsidRPr="00CF2ADA">
        <w:rPr>
          <w:sz w:val="28"/>
          <w:szCs w:val="28"/>
        </w:rPr>
        <w:t xml:space="preserve"> низины. 7. Пойменные.</w:t>
      </w:r>
    </w:p>
    <w:p w:rsidR="00592E96" w:rsidRPr="00CF2ADA" w:rsidRDefault="00592E96" w:rsidP="00592E96">
      <w:pPr>
        <w:pStyle w:val="a3"/>
        <w:spacing w:line="240" w:lineRule="atLeast"/>
        <w:ind w:firstLine="567"/>
        <w:contextualSpacing/>
        <w:jc w:val="both"/>
        <w:rPr>
          <w:sz w:val="28"/>
          <w:szCs w:val="28"/>
        </w:rPr>
      </w:pPr>
      <w:r w:rsidRPr="00CF2ADA">
        <w:rPr>
          <w:i/>
          <w:sz w:val="28"/>
          <w:szCs w:val="28"/>
        </w:rPr>
        <w:t>III. Ведущие признаки почвенного плодородия</w:t>
      </w:r>
      <w:r w:rsidRPr="00CF2ADA">
        <w:rPr>
          <w:sz w:val="28"/>
          <w:szCs w:val="28"/>
        </w:rPr>
        <w:t xml:space="preserve">. 1. Единство почвообразовательного процесса. 2. Строение почвенного профиля. 3. Механический состав почв. 4. Глубина </w:t>
      </w:r>
      <w:proofErr w:type="spellStart"/>
      <w:r w:rsidRPr="00CF2ADA">
        <w:rPr>
          <w:sz w:val="28"/>
          <w:szCs w:val="28"/>
        </w:rPr>
        <w:t>водоупора</w:t>
      </w:r>
      <w:proofErr w:type="spellEnd"/>
      <w:r w:rsidRPr="00CF2ADA">
        <w:rPr>
          <w:sz w:val="28"/>
          <w:szCs w:val="28"/>
        </w:rPr>
        <w:t xml:space="preserve">. 5. Степень увлажнения. 6. </w:t>
      </w:r>
      <w:proofErr w:type="spellStart"/>
      <w:r w:rsidRPr="00CF2ADA">
        <w:rPr>
          <w:sz w:val="28"/>
          <w:szCs w:val="28"/>
        </w:rPr>
        <w:t>Карбонатность</w:t>
      </w:r>
      <w:proofErr w:type="spellEnd"/>
      <w:r w:rsidRPr="00CF2ADA">
        <w:rPr>
          <w:sz w:val="28"/>
          <w:szCs w:val="28"/>
        </w:rPr>
        <w:t xml:space="preserve"> почвообразующих и подстилающих пород. 7. Химизм грунтовых вод.</w:t>
      </w:r>
    </w:p>
    <w:p w:rsidR="00592E96" w:rsidRPr="00CF2ADA" w:rsidRDefault="00592E96" w:rsidP="00592E96">
      <w:pPr>
        <w:pStyle w:val="a3"/>
        <w:spacing w:line="240" w:lineRule="atLeast"/>
        <w:ind w:firstLine="567"/>
        <w:contextualSpacing/>
        <w:jc w:val="both"/>
        <w:rPr>
          <w:sz w:val="28"/>
          <w:szCs w:val="28"/>
        </w:rPr>
      </w:pPr>
      <w:r w:rsidRPr="00CF2ADA">
        <w:rPr>
          <w:i/>
          <w:sz w:val="28"/>
          <w:szCs w:val="28"/>
        </w:rPr>
        <w:t>IV. Лесорастительный эффект.</w:t>
      </w:r>
      <w:r w:rsidRPr="00CF2ADA">
        <w:rPr>
          <w:sz w:val="28"/>
          <w:szCs w:val="28"/>
        </w:rPr>
        <w:t xml:space="preserve"> 1. Принадлежность </w:t>
      </w:r>
      <w:proofErr w:type="spellStart"/>
      <w:r w:rsidRPr="00CF2ADA">
        <w:rPr>
          <w:sz w:val="28"/>
          <w:szCs w:val="28"/>
        </w:rPr>
        <w:t>фитопенозов</w:t>
      </w:r>
      <w:proofErr w:type="spellEnd"/>
      <w:r w:rsidRPr="00CF2ADA">
        <w:rPr>
          <w:sz w:val="28"/>
          <w:szCs w:val="28"/>
        </w:rPr>
        <w:t xml:space="preserve"> к одному сукцессионному ряду. 2. Коренной тип леса. 3. Продуктивность древостоев.</w:t>
      </w:r>
    </w:p>
    <w:p w:rsidR="00592E96" w:rsidRPr="00CF2ADA" w:rsidRDefault="00592E96" w:rsidP="00592E96">
      <w:pPr>
        <w:pStyle w:val="a3"/>
        <w:spacing w:line="240" w:lineRule="atLeast"/>
        <w:ind w:firstLine="567"/>
        <w:contextualSpacing/>
        <w:jc w:val="both"/>
        <w:rPr>
          <w:sz w:val="28"/>
          <w:szCs w:val="28"/>
        </w:rPr>
      </w:pPr>
      <w:r w:rsidRPr="00CF2ADA">
        <w:rPr>
          <w:i/>
          <w:sz w:val="28"/>
          <w:szCs w:val="28"/>
        </w:rPr>
        <w:lastRenderedPageBreak/>
        <w:t>V. Система хозяйственного воздействия</w:t>
      </w:r>
      <w:r w:rsidRPr="00CF2ADA">
        <w:rPr>
          <w:sz w:val="28"/>
          <w:szCs w:val="28"/>
        </w:rPr>
        <w:t xml:space="preserve">. 1. </w:t>
      </w:r>
      <w:proofErr w:type="spellStart"/>
      <w:r w:rsidRPr="00CF2ADA">
        <w:rPr>
          <w:sz w:val="28"/>
          <w:szCs w:val="28"/>
        </w:rPr>
        <w:t>Лесовосстановление</w:t>
      </w:r>
      <w:proofErr w:type="spellEnd"/>
      <w:r w:rsidRPr="00CF2ADA">
        <w:rPr>
          <w:sz w:val="28"/>
          <w:szCs w:val="28"/>
        </w:rPr>
        <w:t xml:space="preserve">. 2. Рубки ухода. 3. Рубка главного пользования. 4. Мелиоративные воздействия. 5. </w:t>
      </w:r>
      <w:proofErr w:type="gramStart"/>
      <w:r w:rsidRPr="00CF2ADA">
        <w:rPr>
          <w:sz w:val="28"/>
          <w:szCs w:val="28"/>
        </w:rPr>
        <w:t>Целевые</w:t>
      </w:r>
      <w:proofErr w:type="gramEnd"/>
      <w:r w:rsidRPr="00CF2ADA">
        <w:rPr>
          <w:sz w:val="28"/>
          <w:szCs w:val="28"/>
        </w:rPr>
        <w:t xml:space="preserve"> древостой.</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Выделенные по указанным критериям ПТГ по существу являются таксонами типов лесорастительных условий и отвечают постановлению </w:t>
      </w:r>
      <w:r w:rsidRPr="00CF2ADA">
        <w:rPr>
          <w:sz w:val="28"/>
          <w:szCs w:val="28"/>
          <w:lang w:val="en-US"/>
        </w:rPr>
        <w:t>II</w:t>
      </w:r>
      <w:r w:rsidRPr="00CF2ADA">
        <w:rPr>
          <w:sz w:val="28"/>
          <w:szCs w:val="28"/>
        </w:rPr>
        <w:t xml:space="preserve"> Всесоюзного совещания по лесной типологии  (1973) о  необходимости качественной оценки почвенных разновидностей через типы лесорастительных условий. ПТГ — экологическая единица лесоустроительного проектирования, для которой разрабатывается система хозяйственных мероприятий по реализации потенциальной производительности лесных почв путем формирования целевых древостоев оптимального состава и полноты. На основе ПТГ могут быть созданы постоянные хозяйственные участки и дана экономическая оценка лесорастительных условий этих участков в баллах.</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Анализ ПТГ позволяет судить о резервах эффективного использования плодородия лесных почв и функциональных свойств типов леса путем сопоставления фактической и потенциальной продуктивности древостоев, определения состава древесных пород, соотношения коренных и производных насаждений, анализа изменений, вызванных хозяйственной и иной деятельностью человека. ПТГ подлежат типизации и классификации и характеризуют типы лесорастительных условий в пределах конкретных регионов лесорастительного районирования. Названия коренных типов леса и их краткая характеристика даны для </w:t>
      </w:r>
      <w:proofErr w:type="spellStart"/>
      <w:r w:rsidRPr="00CF2ADA">
        <w:rPr>
          <w:sz w:val="28"/>
          <w:szCs w:val="28"/>
        </w:rPr>
        <w:t>подзоны</w:t>
      </w:r>
      <w:proofErr w:type="spellEnd"/>
      <w:r w:rsidRPr="00CF2ADA">
        <w:rPr>
          <w:sz w:val="28"/>
          <w:szCs w:val="28"/>
        </w:rPr>
        <w:t xml:space="preserve"> широколиственно-сосновых лесов Беларуси.</w:t>
      </w:r>
    </w:p>
    <w:p w:rsidR="00592E96" w:rsidRPr="00CF2ADA" w:rsidRDefault="00592E96" w:rsidP="00592E96">
      <w:pPr>
        <w:pStyle w:val="a3"/>
        <w:spacing w:line="240" w:lineRule="atLeast"/>
        <w:ind w:firstLine="567"/>
        <w:contextualSpacing/>
        <w:jc w:val="both"/>
        <w:rPr>
          <w:b/>
          <w:sz w:val="28"/>
          <w:szCs w:val="28"/>
        </w:rPr>
      </w:pPr>
      <w:r w:rsidRPr="00CF2ADA">
        <w:rPr>
          <w:b/>
          <w:sz w:val="28"/>
          <w:szCs w:val="28"/>
        </w:rPr>
        <w:t>Определение потенциальной продуктивности древостоев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В современной практике лесоустройства Беларуси при почвенно-типологических исследованиях потенциальная продуктивность древостоев определяется отбором лучших по продуктивности и состоянию приспевающих и спелых насаждений. При этом каждый участок характеризуется перечислительными методами таксации с закладкой площадок постоянного радиуса со сплошным перечетом.</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Площадь участка, характеризующего лучший древостой, должна составлять не менее 2 га, так как меньшие участки могут иметь некоторые </w:t>
      </w:r>
      <w:proofErr w:type="gramStart"/>
      <w:r w:rsidRPr="00CF2ADA">
        <w:rPr>
          <w:sz w:val="28"/>
          <w:szCs w:val="28"/>
        </w:rPr>
        <w:t>трудно уловимые</w:t>
      </w:r>
      <w:proofErr w:type="gramEnd"/>
      <w:r w:rsidRPr="00CF2ADA">
        <w:rPr>
          <w:sz w:val="28"/>
          <w:szCs w:val="28"/>
        </w:rPr>
        <w:t xml:space="preserve"> особенности (выход жестких грунтовых вод, локальное вскипание морены и др.), повышающие продуктивность древостоев, и быть нетипичными. Лучшие древостой объединяются в пределах почвенных разновидностей, а затем и почвенно-типологических групп по преобладающим породам и характеризуют потенциальную продуктивность тех или иных условий произрастания.</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Данный анализ позволяет судить об эффективности использования потенциального плодородия лесных почв и возможностях повышения продуктивности древостоев.</w:t>
      </w:r>
    </w:p>
    <w:p w:rsidR="00592E96" w:rsidRPr="00CF2ADA" w:rsidRDefault="00592E96" w:rsidP="00592E96">
      <w:pPr>
        <w:pStyle w:val="a3"/>
        <w:spacing w:line="240" w:lineRule="atLeast"/>
        <w:ind w:firstLine="567"/>
        <w:contextualSpacing/>
        <w:jc w:val="both"/>
        <w:rPr>
          <w:b/>
          <w:sz w:val="28"/>
          <w:szCs w:val="28"/>
        </w:rPr>
      </w:pPr>
      <w:r w:rsidRPr="00CF2ADA">
        <w:rPr>
          <w:b/>
          <w:sz w:val="28"/>
          <w:szCs w:val="28"/>
        </w:rPr>
        <w:t>Выбор перспективных древесных пород</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Выбор перспективных (целевых) древесных пород для каждой почвенно-типологической группы проводится на основе анализа ведущих </w:t>
      </w:r>
      <w:r w:rsidRPr="00CF2ADA">
        <w:rPr>
          <w:sz w:val="28"/>
          <w:szCs w:val="28"/>
        </w:rPr>
        <w:lastRenderedPageBreak/>
        <w:t>экологических условий произрастания, биологических свой</w:t>
      </w:r>
      <w:proofErr w:type="gramStart"/>
      <w:r w:rsidRPr="00CF2ADA">
        <w:rPr>
          <w:sz w:val="28"/>
          <w:szCs w:val="28"/>
        </w:rPr>
        <w:t>ств др</w:t>
      </w:r>
      <w:proofErr w:type="gramEnd"/>
      <w:r w:rsidRPr="00CF2ADA">
        <w:rPr>
          <w:sz w:val="28"/>
          <w:szCs w:val="28"/>
        </w:rPr>
        <w:t>евесных пород и хозяйственно-экономических факторов.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При анализе эколого-биологических факторов учитываются принадлежность объекта к лесорастительному, геоботаническому, геоморфологическому и почвенно-климатическому регионам Белоруссии, степень соответствия плодородия почв ПТГ эдафическим оптимумам основных лесообразующих пород, их конкурентоспособность и </w:t>
      </w:r>
      <w:proofErr w:type="spellStart"/>
      <w:r w:rsidRPr="00CF2ADA">
        <w:rPr>
          <w:sz w:val="28"/>
          <w:szCs w:val="28"/>
        </w:rPr>
        <w:t>фитоценотическая</w:t>
      </w:r>
      <w:proofErr w:type="spellEnd"/>
      <w:r w:rsidRPr="00CF2ADA">
        <w:rPr>
          <w:sz w:val="28"/>
          <w:szCs w:val="28"/>
        </w:rPr>
        <w:t xml:space="preserve"> устойчивость, интенсивность смены пород в пределах ПТГ и на территории всего объекта (лесхоза). В качестве перспективных рекомендуются одна или две-три (иногда более) древесные породы, что зависит от степени плодородия почв. Две целевые породы и более указываются в том случае, если почвы ПТГ одинаково пригодны для выращивания каждой из них в качестве основного </w:t>
      </w:r>
      <w:proofErr w:type="spellStart"/>
      <w:r w:rsidRPr="00CF2ADA">
        <w:rPr>
          <w:sz w:val="28"/>
          <w:szCs w:val="28"/>
        </w:rPr>
        <w:t>лесообразователя</w:t>
      </w:r>
      <w:proofErr w:type="spellEnd"/>
      <w:r w:rsidRPr="00CF2ADA">
        <w:rPr>
          <w:sz w:val="28"/>
          <w:szCs w:val="28"/>
        </w:rPr>
        <w:t xml:space="preserve"> или же для создания смешанных насаждений. Конкретный выбор одной из пород или способа смешения делает лесхоз в соответствии с необходимостью рационального изменения состава лесов и восстановления коренных древостоев. </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Из экономических факторов для определения перспективных пород одним из основных является показатель рентабельности лесовыращивания по условиям произрастания, который принимается в расчет наряду с эколого-биологическими факторами.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По интенсивности хозяйственного воздействия ПТГ относятся к трем категориям: </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1) интенсивного хозяйственного воздействия — большинство ПТГ с минеральными почвами всех типов и степеней увлажнения;</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2) ограниченного хозяйственного воздействия — ПТГ с перегнойно-глеевыми, торфянист</w:t>
      </w:r>
      <w:proofErr w:type="gramStart"/>
      <w:r w:rsidRPr="00CF2ADA">
        <w:rPr>
          <w:sz w:val="28"/>
          <w:szCs w:val="28"/>
        </w:rPr>
        <w:t>о-</w:t>
      </w:r>
      <w:proofErr w:type="gramEnd"/>
      <w:r w:rsidRPr="00CF2ADA">
        <w:rPr>
          <w:sz w:val="28"/>
          <w:szCs w:val="28"/>
        </w:rPr>
        <w:t xml:space="preserve"> и торфяно-глеевыми почвами, осушенными торфяниками;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3) слабого хозяйственного воздействия — ПТГ с немелиорированными торфяниками.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 третьей и частично второй категориях в настоящее время и на ближайшую перспективу нет условий для активного направленного формирования древостоев определенного состава путем </w:t>
      </w:r>
      <w:proofErr w:type="spellStart"/>
      <w:r w:rsidRPr="00CF2ADA">
        <w:rPr>
          <w:sz w:val="28"/>
          <w:szCs w:val="28"/>
        </w:rPr>
        <w:t>лесокультурных</w:t>
      </w:r>
      <w:proofErr w:type="spellEnd"/>
      <w:r w:rsidRPr="00CF2ADA">
        <w:rPr>
          <w:sz w:val="28"/>
          <w:szCs w:val="28"/>
        </w:rPr>
        <w:t xml:space="preserve"> мероприятий, интенсивных рубок ухода и др. Поэтому выбор целевых пород здесь диктуется возможностями естественного восстановления и ограниченными возможностями лесохозяйственного воздействия. При выборе главных и сопутствующих пород немаловажное значение имеет анализ санитарного состояния древостоев, а также природоохранная и рекреационная роль в конкретных объектах.</w:t>
      </w:r>
    </w:p>
    <w:p w:rsidR="00592E96" w:rsidRPr="00CF2ADA" w:rsidRDefault="00592E96" w:rsidP="00592E96">
      <w:pPr>
        <w:pStyle w:val="a3"/>
        <w:spacing w:line="240" w:lineRule="atLeast"/>
        <w:ind w:firstLine="567"/>
        <w:contextualSpacing/>
        <w:jc w:val="both"/>
        <w:rPr>
          <w:b/>
          <w:sz w:val="28"/>
          <w:szCs w:val="28"/>
        </w:rPr>
      </w:pPr>
      <w:r w:rsidRPr="00CF2ADA">
        <w:rPr>
          <w:b/>
          <w:sz w:val="28"/>
          <w:szCs w:val="28"/>
        </w:rPr>
        <w:t>Бонитировка лесных почв.</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Почва является одним из основных элементов среды, обусловливающих продуктивность лесных древостоев. Первое научное определение почвы дал выдающийся русский ученый В. В. Докучаем, который указывал, что почвой следует называть дневные, или наружные, горизонты горных пород (все </w:t>
      </w:r>
      <w:r w:rsidRPr="00CF2ADA">
        <w:rPr>
          <w:sz w:val="28"/>
          <w:szCs w:val="28"/>
        </w:rPr>
        <w:lastRenderedPageBreak/>
        <w:t>равно каких), естественно измененные взаимным влиянием воды, воздуха и различного рода организмов — живых и мертвых.</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Им установлено, что почвы на земной поверхности образуются в процессе чрезвычайно сложного взаимодействия климата, растительных и животных организмов, состава и строения материнских горных пород, рельефа и, наконец, возраста местности. Идеи В. В. Докучаева стали основополагающими в формировании представления о происхождении и развитии почвы. При этом важнейшая роль в образовании ее отводится живым организмам, в том числе древесным и травянистым растениям. Именно опираясь на взаимосвязи леса с почвами, Г. Ф. Морозов и В. Н. Сукачев разработали новую науку — биогеоценологию. Биогеоценоз— </w:t>
      </w:r>
      <w:proofErr w:type="gramStart"/>
      <w:r w:rsidRPr="00CF2ADA">
        <w:rPr>
          <w:sz w:val="28"/>
          <w:szCs w:val="28"/>
        </w:rPr>
        <w:t>эт</w:t>
      </w:r>
      <w:proofErr w:type="gramEnd"/>
      <w:r w:rsidRPr="00CF2ADA">
        <w:rPr>
          <w:sz w:val="28"/>
          <w:szCs w:val="28"/>
        </w:rPr>
        <w:t>о единство организмов (растительных, животных) и среды (почвы, атмосферы).</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Почве присуще особое свойство — плодородие, т. е. способность удовлетворять потребность растений в элементах питания и воде. Таким образом, почва способна обеспечивать урожай растений, что делает ее основным средством производства в сельском и лесном хозяйстве. Используя почву как средство производства, человек существенно изменяет естественный процесс почвообразования и се свойства. Таким образом, почва является не только предметом, но и продуктом труда. Человек, познавая процессы почвообразования, системой мероприятий должен сознательно регулировать процессы развития почвы в желаемом направлении, постоянно повышая ее плодородие.</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Всегда нужно помнить о незаменимости почвенного покрова не только в создании продукции в сельском и лесном хозяйстве, но и как основного экологического компонента окружающей человека среды— </w:t>
      </w:r>
      <w:proofErr w:type="gramStart"/>
      <w:r w:rsidRPr="00CF2ADA">
        <w:rPr>
          <w:sz w:val="28"/>
          <w:szCs w:val="28"/>
        </w:rPr>
        <w:t>би</w:t>
      </w:r>
      <w:proofErr w:type="gramEnd"/>
      <w:r w:rsidRPr="00CF2ADA">
        <w:rPr>
          <w:sz w:val="28"/>
          <w:szCs w:val="28"/>
        </w:rPr>
        <w:t xml:space="preserve">осферы. Отсюда вытекает необходимость охраны почв, быстрейшего завершения инвентаризации, широкого развертывания работ по качественной оценке почв и разработке мероприятий по их рациональному использованию. Правильное использование земельных ресурсов немыслимо без строгого научного количественного и качественного учета почв и их плодородия, что составляет основу земельного кадастра (от фр. </w:t>
      </w:r>
      <w:proofErr w:type="spellStart"/>
      <w:r w:rsidRPr="00CF2ADA">
        <w:rPr>
          <w:sz w:val="28"/>
          <w:szCs w:val="28"/>
        </w:rPr>
        <w:t>cadaster</w:t>
      </w:r>
      <w:proofErr w:type="spellEnd"/>
      <w:r w:rsidRPr="00CF2ADA">
        <w:rPr>
          <w:sz w:val="28"/>
          <w:szCs w:val="28"/>
        </w:rPr>
        <w:t xml:space="preserve"> — регистрация).</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Бонитировка (от </w:t>
      </w:r>
      <w:proofErr w:type="spellStart"/>
      <w:r w:rsidRPr="00CF2ADA">
        <w:rPr>
          <w:sz w:val="28"/>
          <w:szCs w:val="28"/>
        </w:rPr>
        <w:t>латинск</w:t>
      </w:r>
      <w:proofErr w:type="spellEnd"/>
      <w:r w:rsidRPr="00CF2ADA">
        <w:rPr>
          <w:sz w:val="28"/>
          <w:szCs w:val="28"/>
        </w:rPr>
        <w:t xml:space="preserve">. </w:t>
      </w:r>
      <w:proofErr w:type="spellStart"/>
      <w:r w:rsidRPr="00CF2ADA">
        <w:rPr>
          <w:sz w:val="28"/>
          <w:szCs w:val="28"/>
        </w:rPr>
        <w:t>bonitos</w:t>
      </w:r>
      <w:proofErr w:type="spellEnd"/>
      <w:r w:rsidRPr="00CF2ADA">
        <w:rPr>
          <w:sz w:val="28"/>
          <w:szCs w:val="28"/>
        </w:rPr>
        <w:t xml:space="preserve"> — добротность, доброкачественность) почв — это сравнительная оценка почв по их продуктивности. Цель ее заключается в том, чтобы установить относительное достоинство почв по их плодородию, т. е. показать, во сколько раз данная почва лучше или хуже другой </w:t>
      </w:r>
      <w:proofErr w:type="gramStart"/>
      <w:r w:rsidRPr="00CF2ADA">
        <w:rPr>
          <w:sz w:val="28"/>
          <w:szCs w:val="28"/>
        </w:rPr>
        <w:t>по</w:t>
      </w:r>
      <w:proofErr w:type="gramEnd"/>
      <w:r w:rsidRPr="00CF2ADA">
        <w:rPr>
          <w:sz w:val="28"/>
          <w:szCs w:val="28"/>
        </w:rPr>
        <w:t xml:space="preserve"> </w:t>
      </w:r>
      <w:proofErr w:type="gramStart"/>
      <w:r w:rsidRPr="00CF2ADA">
        <w:rPr>
          <w:sz w:val="28"/>
          <w:szCs w:val="28"/>
        </w:rPr>
        <w:t>своим</w:t>
      </w:r>
      <w:proofErr w:type="gramEnd"/>
      <w:r w:rsidRPr="00CF2ADA">
        <w:rPr>
          <w:sz w:val="28"/>
          <w:szCs w:val="28"/>
        </w:rPr>
        <w:t xml:space="preserve"> свойствам для выращивания определенных древесных пород или сельскохозяйственных культур. Бонитировка носит региональный характер, так как природные свойства, определяющие плодородие почв, различаются по почвенно-климатическим, лесорастительным зонам.</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Хорошо проведенные </w:t>
      </w:r>
      <w:proofErr w:type="spellStart"/>
      <w:r w:rsidRPr="00CF2ADA">
        <w:rPr>
          <w:sz w:val="28"/>
          <w:szCs w:val="28"/>
        </w:rPr>
        <w:t>бонитировочные</w:t>
      </w:r>
      <w:proofErr w:type="spellEnd"/>
      <w:r w:rsidRPr="00CF2ADA">
        <w:rPr>
          <w:sz w:val="28"/>
          <w:szCs w:val="28"/>
        </w:rPr>
        <w:t xml:space="preserve"> работы дают ценный материал для рационального дифференцированного планирования лесохозяйственных работ, направленных на выращивание наиболее ценных древесных пород в соответствии с лесорастительными свойствами почв и их плодородием. Вопросы бонитировки лесных почв начали изучаться лишь в последние годы. Сложность их решения обусловлена как большим разнообразием природных </w:t>
      </w:r>
      <w:r w:rsidRPr="00CF2ADA">
        <w:rPr>
          <w:sz w:val="28"/>
          <w:szCs w:val="28"/>
        </w:rPr>
        <w:lastRenderedPageBreak/>
        <w:t>факторов, влияющих на рост леса, так и отсутствием общепринятых критериев оценки почвенного плодородия и связанных с ними показателей продуктивности насаждений.</w:t>
      </w:r>
    </w:p>
    <w:p w:rsidR="00592E96" w:rsidRPr="00CF2ADA" w:rsidRDefault="00592E96" w:rsidP="00592E96">
      <w:pPr>
        <w:pStyle w:val="a3"/>
        <w:spacing w:line="240" w:lineRule="atLeast"/>
        <w:ind w:firstLine="567"/>
        <w:contextualSpacing/>
        <w:jc w:val="both"/>
        <w:rPr>
          <w:sz w:val="28"/>
          <w:szCs w:val="28"/>
        </w:rPr>
      </w:pPr>
      <w:proofErr w:type="gramStart"/>
      <w:r w:rsidRPr="00CF2ADA">
        <w:rPr>
          <w:sz w:val="28"/>
          <w:szCs w:val="28"/>
        </w:rPr>
        <w:t>Большинство авторов рекомендуют для оценки производительности лесных почв использовать чистые одновозрастные спелые или приспевающие насаждения, учитывая их запас, средний прирост, среднюю высоту господствующего яруса и т. д. Лесорастительные свойства почв можно оценить не только по средней высоте или запасу древесины, но и по ее денежной стоимости, ибо таксовая стоимость различных древесных пород колеблется очень широко.</w:t>
      </w:r>
      <w:proofErr w:type="gramEnd"/>
      <w:r w:rsidRPr="00CF2ADA">
        <w:rPr>
          <w:sz w:val="28"/>
          <w:szCs w:val="28"/>
        </w:rPr>
        <w:t xml:space="preserve"> Особенности древесных биогеоценозов (длительность роста, усвоение элементов питания с большой глубины и т. д.) не позволяют применять в лесном хозяйстве уже достаточно хорошо зарекомендовавшую себя методику оценки почв сельхозугодий. Для бонитировки лесных почв до настоящего времени нет достаточно разработанной методики, чаще всего используют два подхода: типологический и аналитический. Нами использован типологический подход, при котором основой для оценки почв и типов местообитаний являются почвенная карта и план типов леса (местообитаний), т. е. материалы лесоустройства и почвенно-</w:t>
      </w:r>
      <w:proofErr w:type="spellStart"/>
      <w:r w:rsidRPr="00CF2ADA">
        <w:rPr>
          <w:sz w:val="28"/>
          <w:szCs w:val="28"/>
        </w:rPr>
        <w:t>лесотипологических</w:t>
      </w:r>
      <w:proofErr w:type="spellEnd"/>
      <w:r w:rsidRPr="00CF2ADA">
        <w:rPr>
          <w:sz w:val="28"/>
          <w:szCs w:val="28"/>
        </w:rPr>
        <w:t xml:space="preserve"> исследований, и том числе данные постоянных и временных пробных площадей.</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Качественное различие почв в баллах определяется по денежной стоимости древесины тех или иных пород, произрастающих на соответствующих почвенных разновидностях. Для исследуемых объектов, имеющих древостой различного возраста (в основном в пределах одного класса), с целью получения сопоставимых данных по </w:t>
      </w:r>
      <w:proofErr w:type="spellStart"/>
      <w:r w:rsidRPr="00CF2ADA">
        <w:rPr>
          <w:sz w:val="28"/>
          <w:szCs w:val="28"/>
        </w:rPr>
        <w:t>общебонитировочным</w:t>
      </w:r>
      <w:proofErr w:type="spellEnd"/>
      <w:r w:rsidRPr="00CF2ADA">
        <w:rPr>
          <w:sz w:val="28"/>
          <w:szCs w:val="28"/>
        </w:rPr>
        <w:t xml:space="preserve"> шкалам запасы приводятся к фиксированному возрасту (100 лет для хвойных и твердолиственных, 50 лет для </w:t>
      </w:r>
      <w:proofErr w:type="spellStart"/>
      <w:r w:rsidRPr="00CF2ADA">
        <w:rPr>
          <w:sz w:val="28"/>
          <w:szCs w:val="28"/>
        </w:rPr>
        <w:t>мягколиственных</w:t>
      </w:r>
      <w:proofErr w:type="spellEnd"/>
      <w:r w:rsidRPr="00CF2ADA">
        <w:rPr>
          <w:sz w:val="28"/>
          <w:szCs w:val="28"/>
        </w:rPr>
        <w:t>).</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 соответствии с товарными таблицами Н. П. Анучина запасы древесины подразделяются на крупную, среднюю, мелкую, дрова и отходы. По прейскуранту вычисляется денежная стоимость древесины в рублях и сопоставляется с эталоном, принятым за 100 баллов,— стоимость (руб.) запаса при полноте 1,0, произрастающего на дерново-перегнойно-карбонатно-глеевой почве. Так как возраст рубки </w:t>
      </w:r>
      <w:proofErr w:type="spellStart"/>
      <w:r w:rsidRPr="00CF2ADA">
        <w:rPr>
          <w:sz w:val="28"/>
          <w:szCs w:val="28"/>
        </w:rPr>
        <w:t>мягколиственных</w:t>
      </w:r>
      <w:proofErr w:type="spellEnd"/>
      <w:r w:rsidRPr="00CF2ADA">
        <w:rPr>
          <w:sz w:val="28"/>
          <w:szCs w:val="28"/>
        </w:rPr>
        <w:t xml:space="preserve"> пород примерно в 2 раза ниже, чем хвойных, полученный показатель стоимости древесины умножается на 2 или на соответствующий коэффициент. </w:t>
      </w:r>
      <w:proofErr w:type="spellStart"/>
      <w:r w:rsidRPr="00CF2ADA">
        <w:rPr>
          <w:sz w:val="28"/>
          <w:szCs w:val="28"/>
        </w:rPr>
        <w:t>Бонитировочная</w:t>
      </w:r>
      <w:proofErr w:type="spellEnd"/>
      <w:r w:rsidRPr="00CF2ADA">
        <w:rPr>
          <w:sz w:val="28"/>
          <w:szCs w:val="28"/>
        </w:rPr>
        <w:t xml:space="preserve"> шкала оценки земель представляет собой ряд величин, показывающих относительную лесохозяйственную ценность почв при использовании их под различными древесными породами.</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В смешанном насаждении оценку целесообразно проводить по основной породе, а при необходимости по двум или трем породам, входящим в состав насаждения. Не покрытые лесом площади (вырубки, прогалины и пр.) оцениваются по прилегающим насаждениям, которые произрастают на идентичных почвах. Так как на одной и той же почве обычно произрастают различные древесные породы, то на основании бонитировки можно оценить </w:t>
      </w:r>
      <w:r w:rsidRPr="00CF2ADA">
        <w:rPr>
          <w:sz w:val="28"/>
          <w:szCs w:val="28"/>
        </w:rPr>
        <w:lastRenderedPageBreak/>
        <w:t>не только почву и лесорастительные условия, но и степень пригодности их для выращивания наиболее ценных древесных пород.</w:t>
      </w:r>
    </w:p>
    <w:p w:rsidR="00592E96" w:rsidRPr="00CF2ADA" w:rsidRDefault="00592E96" w:rsidP="00592E96">
      <w:pPr>
        <w:pStyle w:val="a3"/>
        <w:spacing w:line="240" w:lineRule="atLeast"/>
        <w:ind w:firstLine="567"/>
        <w:contextualSpacing/>
        <w:jc w:val="both"/>
        <w:rPr>
          <w:sz w:val="28"/>
          <w:szCs w:val="28"/>
        </w:rPr>
      </w:pPr>
      <w:r w:rsidRPr="00CF2ADA">
        <w:rPr>
          <w:sz w:val="28"/>
          <w:szCs w:val="28"/>
        </w:rPr>
        <w:t xml:space="preserve">Например, дерново-подзолистая </w:t>
      </w:r>
      <w:proofErr w:type="spellStart"/>
      <w:r w:rsidRPr="00CF2ADA">
        <w:rPr>
          <w:sz w:val="28"/>
          <w:szCs w:val="28"/>
        </w:rPr>
        <w:t>среднеоподзоленная</w:t>
      </w:r>
      <w:proofErr w:type="spellEnd"/>
      <w:r w:rsidRPr="00CF2ADA">
        <w:rPr>
          <w:sz w:val="28"/>
          <w:szCs w:val="28"/>
        </w:rPr>
        <w:t xml:space="preserve"> почва, развивающаяся на маломощной супеси связной, сменяемой глубоким рыхлым песком, на которой произрастают три древесные породы (С, Е, Б), оценивается по сосне 39, по ели — 30 и по березе — 22 баллами. Следовательно, наиболее перспективной породой здесь является сосна (39 баллов). Этим баллом и оценивается указанная почва.</w:t>
      </w:r>
    </w:p>
    <w:p w:rsidR="00592E96" w:rsidRPr="00CF2ADA" w:rsidRDefault="00592E96" w:rsidP="00592E96">
      <w:pPr>
        <w:spacing w:line="240" w:lineRule="atLeast"/>
        <w:ind w:firstLine="567"/>
        <w:contextualSpacing/>
        <w:jc w:val="both"/>
        <w:rPr>
          <w:rFonts w:ascii="Times New Roman" w:hAnsi="Times New Roman" w:cs="Times New Roman"/>
          <w:sz w:val="28"/>
          <w:szCs w:val="28"/>
        </w:rPr>
      </w:pPr>
    </w:p>
    <w:p w:rsidR="00592E96" w:rsidRPr="00CF2ADA" w:rsidRDefault="00592E96" w:rsidP="00592E96">
      <w:pPr>
        <w:spacing w:line="240" w:lineRule="atLeast"/>
        <w:contextualSpacing/>
        <w:rPr>
          <w:rFonts w:ascii="Times New Roman" w:hAnsi="Times New Roman" w:cs="Times New Roman"/>
          <w:sz w:val="28"/>
          <w:szCs w:val="28"/>
        </w:rPr>
      </w:pPr>
    </w:p>
    <w:p w:rsidR="00772395" w:rsidRPr="00CF2ADA" w:rsidRDefault="00CF2ADA">
      <w:pPr>
        <w:rPr>
          <w:rFonts w:ascii="Times New Roman" w:hAnsi="Times New Roman" w:cs="Times New Roman"/>
          <w:sz w:val="28"/>
          <w:szCs w:val="28"/>
        </w:rPr>
      </w:pPr>
    </w:p>
    <w:sectPr w:rsidR="00772395" w:rsidRPr="00CF2ADA" w:rsidSect="000C26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AE7828"/>
    <w:multiLevelType w:val="hybridMultilevel"/>
    <w:tmpl w:val="CA6AB7FA"/>
    <w:lvl w:ilvl="0" w:tplc="B91CD9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E96"/>
    <w:rsid w:val="00592E96"/>
    <w:rsid w:val="00A828E6"/>
    <w:rsid w:val="00CF2ADA"/>
    <w:rsid w:val="00F83037"/>
    <w:rsid w:val="00FC2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E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E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E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E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832</TotalTime>
  <Pages>8</Pages>
  <Words>2885</Words>
  <Characters>16447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Митин</cp:lastModifiedBy>
  <cp:revision>2</cp:revision>
  <dcterms:created xsi:type="dcterms:W3CDTF">2014-03-26T13:56:00Z</dcterms:created>
  <dcterms:modified xsi:type="dcterms:W3CDTF">2017-12-24T08:48:00Z</dcterms:modified>
</cp:coreProperties>
</file>